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6B90F" w14:textId="77777777" w:rsidR="00EB66CA" w:rsidRPr="00AA38B3" w:rsidRDefault="00EB66CA" w:rsidP="00EB66CA">
      <w:pPr>
        <w:jc w:val="center"/>
        <w:rPr>
          <w:b/>
          <w:bCs/>
          <w:sz w:val="24"/>
          <w:szCs w:val="24"/>
          <w:lang w:val="uk-UA"/>
        </w:rPr>
      </w:pPr>
      <w:r w:rsidRPr="00AA38B3">
        <w:rPr>
          <w:b/>
          <w:bCs/>
          <w:sz w:val="24"/>
          <w:szCs w:val="24"/>
          <w:lang w:val="uk-UA"/>
        </w:rPr>
        <w:t>КАРТКА ЗАХОДУ</w:t>
      </w:r>
    </w:p>
    <w:p w14:paraId="71B66C7B" w14:textId="4A779B40" w:rsidR="00EB66CA" w:rsidRPr="00AA38B3" w:rsidRDefault="00EB66CA" w:rsidP="004B1191">
      <w:pPr>
        <w:jc w:val="center"/>
        <w:rPr>
          <w:b/>
          <w:bCs/>
          <w:color w:val="000000"/>
          <w:sz w:val="24"/>
          <w:szCs w:val="24"/>
          <w:lang w:val="uk-UA"/>
        </w:rPr>
      </w:pPr>
      <w:r w:rsidRPr="00AA38B3">
        <w:rPr>
          <w:sz w:val="24"/>
          <w:szCs w:val="24"/>
          <w:lang w:val="uk-UA"/>
        </w:rPr>
        <w:t>(</w:t>
      </w:r>
      <w:r w:rsidR="004B1191" w:rsidRPr="00AA38B3">
        <w:rPr>
          <w:i/>
          <w:iCs/>
          <w:color w:val="000000"/>
          <w:sz w:val="24"/>
          <w:szCs w:val="24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AA38B3">
        <w:rPr>
          <w:color w:val="000000"/>
          <w:sz w:val="24"/>
          <w:szCs w:val="24"/>
          <w:lang w:val="uk-UA"/>
        </w:rPr>
        <w:t>)</w:t>
      </w:r>
    </w:p>
    <w:p w14:paraId="29D358FD" w14:textId="47BC5ACA" w:rsidR="00EB66CA" w:rsidRPr="00AA38B3" w:rsidRDefault="004B1191" w:rsidP="00EB66CA">
      <w:pPr>
        <w:jc w:val="center"/>
        <w:rPr>
          <w:b/>
          <w:bCs/>
          <w:sz w:val="24"/>
          <w:szCs w:val="24"/>
          <w:lang w:val="uk-UA"/>
        </w:rPr>
      </w:pPr>
      <w:r w:rsidRPr="00AA38B3">
        <w:rPr>
          <w:b/>
          <w:bCs/>
          <w:sz w:val="24"/>
          <w:szCs w:val="24"/>
          <w:lang w:val="uk-UA"/>
        </w:rPr>
        <w:t xml:space="preserve">БПР </w:t>
      </w:r>
      <w:r w:rsidR="00EB66CA" w:rsidRPr="00AA38B3">
        <w:rPr>
          <w:b/>
          <w:bCs/>
          <w:sz w:val="24"/>
          <w:szCs w:val="24"/>
          <w:lang w:val="uk-UA"/>
        </w:rPr>
        <w:t>МЕДИЧНИХ</w:t>
      </w:r>
      <w:r w:rsidR="00EB66CA" w:rsidRPr="00AA38B3">
        <w:rPr>
          <w:b/>
          <w:bCs/>
          <w:spacing w:val="1"/>
          <w:sz w:val="24"/>
          <w:szCs w:val="24"/>
          <w:lang w:val="uk-UA"/>
        </w:rPr>
        <w:t xml:space="preserve"> </w:t>
      </w:r>
      <w:r w:rsidR="00EB66CA" w:rsidRPr="00AA38B3">
        <w:rPr>
          <w:b/>
          <w:bCs/>
          <w:sz w:val="24"/>
          <w:szCs w:val="24"/>
          <w:lang w:val="uk-UA"/>
        </w:rPr>
        <w:t>ТА</w:t>
      </w:r>
      <w:r w:rsidR="00EB66CA" w:rsidRPr="00AA38B3">
        <w:rPr>
          <w:b/>
          <w:bCs/>
          <w:spacing w:val="1"/>
          <w:sz w:val="24"/>
          <w:szCs w:val="24"/>
          <w:lang w:val="uk-UA"/>
        </w:rPr>
        <w:t xml:space="preserve"> </w:t>
      </w:r>
      <w:r w:rsidR="00EB66CA" w:rsidRPr="00AA38B3">
        <w:rPr>
          <w:b/>
          <w:bCs/>
          <w:sz w:val="24"/>
          <w:szCs w:val="24"/>
          <w:lang w:val="uk-UA"/>
        </w:rPr>
        <w:t>ФАРМАЦЕВТИЧНИХ</w:t>
      </w:r>
      <w:r w:rsidR="00EB66CA" w:rsidRPr="00AA38B3">
        <w:rPr>
          <w:b/>
          <w:bCs/>
          <w:spacing w:val="1"/>
          <w:sz w:val="24"/>
          <w:szCs w:val="24"/>
          <w:lang w:val="uk-UA"/>
        </w:rPr>
        <w:t xml:space="preserve"> </w:t>
      </w:r>
      <w:r w:rsidR="00EB66CA" w:rsidRPr="00AA38B3">
        <w:rPr>
          <w:b/>
          <w:bCs/>
          <w:sz w:val="24"/>
          <w:szCs w:val="24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4850"/>
      </w:tblGrid>
      <w:tr w:rsidR="00CE1075" w:rsidRPr="00D50FB4" w14:paraId="6B7284F5" w14:textId="77777777" w:rsidTr="00631440">
        <w:tc>
          <w:tcPr>
            <w:tcW w:w="3964" w:type="dxa"/>
          </w:tcPr>
          <w:p w14:paraId="2B289730" w14:textId="54BB3738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44196A95" w:rsidR="00CE1075" w:rsidRPr="00AA38B3" w:rsidRDefault="00E53CB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b/>
                <w:bCs/>
                <w:sz w:val="24"/>
                <w:szCs w:val="24"/>
                <w:lang w:val="uk-UA"/>
              </w:rPr>
              <w:t>«Хірургічне лікування раку шкіри:онкологічна радикальність і реконструктивні рішення»</w:t>
            </w:r>
          </w:p>
        </w:tc>
      </w:tr>
      <w:tr w:rsidR="00CE1075" w:rsidRPr="001D3118" w14:paraId="315EBAD6" w14:textId="77777777" w:rsidTr="00631440">
        <w:tc>
          <w:tcPr>
            <w:tcW w:w="3964" w:type="dxa"/>
          </w:tcPr>
          <w:p w14:paraId="2363A3F1" w14:textId="63811040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14:paraId="63F24BFA" w14:textId="77777777" w:rsidR="00F55882" w:rsidRDefault="00E53CB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b/>
                <w:bCs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497DB7CB" w14:textId="77777777" w:rsidR="00F55882" w:rsidRDefault="00E53CB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b/>
                <w:bCs/>
                <w:sz w:val="24"/>
                <w:szCs w:val="24"/>
                <w:lang w:val="uk-UA"/>
              </w:rPr>
              <w:t xml:space="preserve">«Гемо Медика Харків» </w:t>
            </w:r>
          </w:p>
          <w:p w14:paraId="40950E9F" w14:textId="7700B139" w:rsidR="00CE1075" w:rsidRPr="00AA38B3" w:rsidRDefault="00C7296D" w:rsidP="00CE107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A38B3"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r w:rsidRPr="00AA38B3">
              <w:rPr>
                <w:b/>
                <w:sz w:val="24"/>
                <w:szCs w:val="24"/>
                <w:shd w:val="clear" w:color="auto" w:fill="FFFFFF"/>
                <w:lang w:val="ru-RU"/>
              </w:rPr>
              <w:t>2104</w:t>
            </w:r>
          </w:p>
        </w:tc>
      </w:tr>
      <w:tr w:rsidR="00CE1075" w:rsidRPr="00AA38B3" w14:paraId="43E4B5E2" w14:textId="77777777" w:rsidTr="00631440">
        <w:tc>
          <w:tcPr>
            <w:tcW w:w="3964" w:type="dxa"/>
          </w:tcPr>
          <w:p w14:paraId="1A326BC0" w14:textId="21173609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17A7F029" w:rsidR="00CE1075" w:rsidRPr="00AA38B3" w:rsidRDefault="00E53CB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D50FB4" w14:paraId="13877037" w14:textId="77777777" w:rsidTr="00631440">
        <w:tc>
          <w:tcPr>
            <w:tcW w:w="3964" w:type="dxa"/>
          </w:tcPr>
          <w:p w14:paraId="38228741" w14:textId="72111A48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14:paraId="6E1218AC" w14:textId="77777777" w:rsidR="008A55E9" w:rsidRPr="005139DB" w:rsidRDefault="008A55E9" w:rsidP="00970A74">
            <w:pPr>
              <w:pStyle w:val="TableParagraph"/>
              <w:spacing w:line="264" w:lineRule="exact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5139DB">
              <w:rPr>
                <w:rStyle w:val="Bold"/>
                <w:bCs/>
                <w:i/>
                <w:iCs/>
                <w:sz w:val="24"/>
                <w:szCs w:val="24"/>
              </w:rPr>
              <w:t>Лікарські спеціальності:</w:t>
            </w:r>
          </w:p>
          <w:p w14:paraId="5BE984B2" w14:textId="77777777" w:rsidR="00970A74" w:rsidRPr="005139DB" w:rsidRDefault="00F55882" w:rsidP="00970A74">
            <w:pPr>
              <w:pStyle w:val="TableParagraph"/>
              <w:spacing w:line="264" w:lineRule="exact"/>
              <w:ind w:left="0"/>
              <w:jc w:val="both"/>
              <w:rPr>
                <w:rFonts w:eastAsiaTheme="minorHAnsi"/>
                <w:sz w:val="24"/>
                <w:szCs w:val="24"/>
              </w:rPr>
            </w:pPr>
            <w:r w:rsidRPr="005139DB">
              <w:rPr>
                <w:rFonts w:eastAsiaTheme="minorHAnsi"/>
                <w:sz w:val="24"/>
                <w:szCs w:val="24"/>
              </w:rPr>
              <w:t xml:space="preserve">Хірургія, </w:t>
            </w:r>
            <w:proofErr w:type="spellStart"/>
            <w:r w:rsidRPr="005139DB">
              <w:rPr>
                <w:rFonts w:eastAsiaTheme="minorHAnsi"/>
                <w:sz w:val="24"/>
                <w:szCs w:val="24"/>
              </w:rPr>
              <w:t>онкохірургія</w:t>
            </w:r>
            <w:proofErr w:type="spellEnd"/>
            <w:r w:rsidRPr="005139DB">
              <w:rPr>
                <w:rFonts w:eastAsiaTheme="minorHAnsi"/>
                <w:sz w:val="24"/>
                <w:szCs w:val="24"/>
              </w:rPr>
              <w:t xml:space="preserve">, </w:t>
            </w:r>
            <w:r w:rsidR="00970A74" w:rsidRPr="005139DB">
              <w:rPr>
                <w:rFonts w:eastAsiaTheme="minorHAnsi"/>
                <w:sz w:val="24"/>
                <w:szCs w:val="24"/>
              </w:rPr>
              <w:t>пластична хірургія,</w:t>
            </w:r>
          </w:p>
          <w:p w14:paraId="1BD0DABE" w14:textId="1BBBFD45" w:rsidR="00F55882" w:rsidRPr="005139DB" w:rsidRDefault="00F55882" w:rsidP="00970A74">
            <w:pPr>
              <w:pStyle w:val="TableParagraph"/>
              <w:spacing w:line="264" w:lineRule="exact"/>
              <w:ind w:left="0"/>
              <w:jc w:val="both"/>
              <w:rPr>
                <w:rFonts w:eastAsiaTheme="minorHAnsi"/>
                <w:sz w:val="24"/>
                <w:szCs w:val="24"/>
              </w:rPr>
            </w:pPr>
            <w:r w:rsidRPr="005139DB">
              <w:rPr>
                <w:rFonts w:eastAsiaTheme="minorHAnsi"/>
                <w:sz w:val="24"/>
                <w:szCs w:val="24"/>
              </w:rPr>
              <w:t xml:space="preserve">клінічна онкологія, </w:t>
            </w:r>
            <w:proofErr w:type="spellStart"/>
            <w:r w:rsidRPr="005139DB">
              <w:rPr>
                <w:rFonts w:eastAsiaTheme="minorHAnsi"/>
                <w:sz w:val="24"/>
                <w:szCs w:val="24"/>
              </w:rPr>
              <w:t>дерматовенерологія</w:t>
            </w:r>
            <w:proofErr w:type="spellEnd"/>
            <w:r w:rsidRPr="005139DB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1FAB8E86" w14:textId="7016C925" w:rsidR="00CE1075" w:rsidRPr="005139DB" w:rsidRDefault="00F55882" w:rsidP="005139DB">
            <w:pPr>
              <w:pStyle w:val="TableParagraph"/>
              <w:spacing w:line="264" w:lineRule="exact"/>
              <w:ind w:left="0"/>
              <w:jc w:val="both"/>
              <w:rPr>
                <w:rFonts w:eastAsiaTheme="minorHAnsi"/>
                <w:sz w:val="24"/>
                <w:szCs w:val="24"/>
              </w:rPr>
            </w:pPr>
            <w:r w:rsidRPr="005139DB">
              <w:rPr>
                <w:rFonts w:eastAsiaTheme="minorHAnsi"/>
                <w:sz w:val="24"/>
                <w:szCs w:val="24"/>
              </w:rPr>
              <w:t>комбустіологія, загал</w:t>
            </w:r>
            <w:r w:rsidR="00631440" w:rsidRPr="005139DB">
              <w:rPr>
                <w:rFonts w:eastAsiaTheme="minorHAnsi"/>
                <w:sz w:val="24"/>
                <w:szCs w:val="24"/>
              </w:rPr>
              <w:t xml:space="preserve">ьна практика – </w:t>
            </w:r>
            <w:r w:rsidRPr="005139DB">
              <w:rPr>
                <w:rFonts w:eastAsiaTheme="minorHAnsi"/>
                <w:sz w:val="24"/>
                <w:szCs w:val="24"/>
              </w:rPr>
              <w:t xml:space="preserve"> сімейна медицина, </w:t>
            </w:r>
            <w:r w:rsidR="00970A74" w:rsidRPr="005139DB">
              <w:rPr>
                <w:sz w:val="24"/>
                <w:szCs w:val="24"/>
              </w:rPr>
              <w:t>внутрішні хвороби,</w:t>
            </w:r>
            <w:r w:rsidR="00970A74" w:rsidRPr="005139DB">
              <w:rPr>
                <w:rFonts w:eastAsiaTheme="minorHAnsi"/>
                <w:sz w:val="24"/>
                <w:szCs w:val="24"/>
              </w:rPr>
              <w:t xml:space="preserve"> </w:t>
            </w:r>
            <w:r w:rsidRPr="005139DB">
              <w:rPr>
                <w:rFonts w:eastAsiaTheme="minorHAnsi"/>
                <w:sz w:val="24"/>
                <w:szCs w:val="24"/>
              </w:rPr>
              <w:t>патологічна анатомія, радіологія</w:t>
            </w:r>
            <w:r w:rsidR="00631440" w:rsidRPr="005139DB">
              <w:rPr>
                <w:rFonts w:eastAsiaTheme="minorHAnsi"/>
                <w:sz w:val="24"/>
                <w:szCs w:val="24"/>
              </w:rPr>
              <w:t xml:space="preserve">, рентгенологія </w:t>
            </w:r>
          </w:p>
        </w:tc>
      </w:tr>
      <w:tr w:rsidR="00CE1075" w:rsidRPr="00AA38B3" w14:paraId="0F30D340" w14:textId="77777777" w:rsidTr="00631440">
        <w:tc>
          <w:tcPr>
            <w:tcW w:w="3964" w:type="dxa"/>
          </w:tcPr>
          <w:p w14:paraId="4DE8B709" w14:textId="0F605259" w:rsidR="00CE1075" w:rsidRPr="005139D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139DB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0DDA4428" w:rsidR="00CE1075" w:rsidRPr="005139DB" w:rsidRDefault="00556EC8" w:rsidP="00556EC8">
            <w:pPr>
              <w:jc w:val="center"/>
              <w:rPr>
                <w:b/>
                <w:bCs/>
                <w:sz w:val="24"/>
                <w:szCs w:val="24"/>
              </w:rPr>
            </w:pPr>
            <w:r w:rsidRPr="005139DB">
              <w:rPr>
                <w:b/>
                <w:sz w:val="24"/>
                <w:szCs w:val="24"/>
                <w:lang w:val="uk-UA"/>
              </w:rPr>
              <w:t xml:space="preserve">Майстер-клас </w:t>
            </w:r>
          </w:p>
        </w:tc>
      </w:tr>
      <w:tr w:rsidR="00CE1075" w:rsidRPr="00556EC8" w14:paraId="28230945" w14:textId="77777777" w:rsidTr="00631440">
        <w:tc>
          <w:tcPr>
            <w:tcW w:w="3964" w:type="dxa"/>
          </w:tcPr>
          <w:p w14:paraId="5F25055B" w14:textId="300D07C2" w:rsidR="00CE1075" w:rsidRPr="005139D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139DB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755D4F2F" w:rsidR="00CE1075" w:rsidRPr="005139DB" w:rsidRDefault="005139DB" w:rsidP="005139D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139DB">
              <w:rPr>
                <w:b/>
                <w:bCs/>
                <w:sz w:val="24"/>
                <w:szCs w:val="24"/>
                <w:lang w:val="uk-UA"/>
              </w:rPr>
              <w:t>Не обмежена</w:t>
            </w:r>
          </w:p>
        </w:tc>
      </w:tr>
      <w:tr w:rsidR="00CE1075" w:rsidRPr="00D50FB4" w14:paraId="3328CFB0" w14:textId="77777777" w:rsidTr="00631440">
        <w:tc>
          <w:tcPr>
            <w:tcW w:w="3964" w:type="dxa"/>
          </w:tcPr>
          <w:p w14:paraId="6327595B" w14:textId="41938930" w:rsidR="00CE1075" w:rsidRPr="0029445F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29445F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185A4876" w14:textId="71B1EB25" w:rsidR="00CF6FFA" w:rsidRDefault="00970A74" w:rsidP="00970A7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970A74">
              <w:rPr>
                <w:rFonts w:eastAsiaTheme="minorHAnsi"/>
                <w:sz w:val="24"/>
                <w:szCs w:val="24"/>
                <w:lang w:val="uk-UA"/>
              </w:rPr>
              <w:t>Підвищити</w:t>
            </w:r>
            <w:r w:rsidR="00F85D6E" w:rsidRPr="00CF6FFA">
              <w:rPr>
                <w:rFonts w:eastAsiaTheme="minorHAnsi"/>
                <w:sz w:val="24"/>
                <w:szCs w:val="24"/>
                <w:lang w:val="uk-UA"/>
              </w:rPr>
              <w:t xml:space="preserve"> професійн</w:t>
            </w:r>
            <w:r>
              <w:rPr>
                <w:rFonts w:eastAsiaTheme="minorHAnsi"/>
                <w:sz w:val="24"/>
                <w:szCs w:val="24"/>
                <w:lang w:val="uk-UA"/>
              </w:rPr>
              <w:t>ий</w:t>
            </w:r>
            <w:r w:rsidR="00F85D6E" w:rsidRPr="00CF6FFA">
              <w:rPr>
                <w:rFonts w:eastAsiaTheme="minorHAnsi"/>
                <w:sz w:val="24"/>
                <w:szCs w:val="24"/>
                <w:lang w:val="uk-UA"/>
              </w:rPr>
              <w:t xml:space="preserve"> рів</w:t>
            </w:r>
            <w:r>
              <w:rPr>
                <w:rFonts w:eastAsiaTheme="minorHAnsi"/>
                <w:sz w:val="24"/>
                <w:szCs w:val="24"/>
                <w:lang w:val="uk-UA"/>
              </w:rPr>
              <w:t>ень</w:t>
            </w:r>
            <w:r w:rsidR="00F85D6E" w:rsidRPr="00CF6FFA">
              <w:rPr>
                <w:rFonts w:eastAsiaTheme="minorHAnsi"/>
                <w:sz w:val="24"/>
                <w:szCs w:val="24"/>
                <w:lang w:val="uk-UA"/>
              </w:rPr>
              <w:t xml:space="preserve"> лікарів хірургічного профілю у сфері діагностики та лікування злоякісних новоутворень шкіри.</w:t>
            </w:r>
          </w:p>
          <w:p w14:paraId="06390114" w14:textId="6453A7ED" w:rsidR="00CF6FFA" w:rsidRDefault="00F85D6E" w:rsidP="00970A7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CF6FFA">
              <w:rPr>
                <w:rFonts w:eastAsiaTheme="minorHAnsi"/>
                <w:sz w:val="24"/>
                <w:szCs w:val="24"/>
                <w:lang w:val="uk-UA"/>
              </w:rPr>
              <w:t>Поглиб</w:t>
            </w:r>
            <w:r w:rsidR="00970A74">
              <w:rPr>
                <w:rFonts w:eastAsiaTheme="minorHAnsi"/>
                <w:sz w:val="24"/>
                <w:szCs w:val="24"/>
                <w:lang w:val="uk-UA"/>
              </w:rPr>
              <w:t>ити</w:t>
            </w:r>
            <w:r w:rsidRPr="00CF6FFA">
              <w:rPr>
                <w:rFonts w:eastAsiaTheme="minorHAnsi"/>
                <w:sz w:val="24"/>
                <w:szCs w:val="24"/>
                <w:lang w:val="uk-UA"/>
              </w:rPr>
              <w:t xml:space="preserve"> знан</w:t>
            </w:r>
            <w:r w:rsidR="00970A74">
              <w:rPr>
                <w:rFonts w:eastAsiaTheme="minorHAnsi"/>
                <w:sz w:val="24"/>
                <w:szCs w:val="24"/>
                <w:lang w:val="uk-UA"/>
              </w:rPr>
              <w:t>ня</w:t>
            </w:r>
            <w:r w:rsidRPr="00CF6FFA">
              <w:rPr>
                <w:rFonts w:eastAsiaTheme="minorHAnsi"/>
                <w:sz w:val="24"/>
                <w:szCs w:val="24"/>
                <w:lang w:val="uk-UA"/>
              </w:rPr>
              <w:t xml:space="preserve"> щодо сучасних принципів онкологічної радикальності при хірургічному лікуванні раку шкіри, визначення адекватних меж резекції та </w:t>
            </w:r>
            <w:proofErr w:type="spellStart"/>
            <w:r w:rsidRPr="00CF6FFA">
              <w:rPr>
                <w:rFonts w:eastAsiaTheme="minorHAnsi"/>
                <w:sz w:val="24"/>
                <w:szCs w:val="24"/>
                <w:lang w:val="uk-UA"/>
              </w:rPr>
              <w:t>онкологічно</w:t>
            </w:r>
            <w:proofErr w:type="spellEnd"/>
            <w:r w:rsidRPr="00CF6FFA">
              <w:rPr>
                <w:rFonts w:eastAsiaTheme="minorHAnsi"/>
                <w:sz w:val="24"/>
                <w:szCs w:val="24"/>
                <w:lang w:val="uk-UA"/>
              </w:rPr>
              <w:t xml:space="preserve"> обґрунтованої тактики оперативного втручання.</w:t>
            </w:r>
          </w:p>
          <w:p w14:paraId="65079A94" w14:textId="71D68B58" w:rsidR="00CF6FFA" w:rsidRDefault="00F85D6E" w:rsidP="00970A7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CF6FFA">
              <w:rPr>
                <w:rFonts w:eastAsiaTheme="minorHAnsi"/>
                <w:sz w:val="24"/>
                <w:szCs w:val="24"/>
                <w:lang w:val="uk-UA"/>
              </w:rPr>
              <w:t>Ознайом</w:t>
            </w:r>
            <w:r w:rsidR="00970A74">
              <w:rPr>
                <w:rFonts w:eastAsiaTheme="minorHAnsi"/>
                <w:sz w:val="24"/>
                <w:szCs w:val="24"/>
                <w:lang w:val="uk-UA"/>
              </w:rPr>
              <w:t>итись</w:t>
            </w:r>
            <w:r w:rsidRPr="00CF6FFA">
              <w:rPr>
                <w:rFonts w:eastAsiaTheme="minorHAnsi"/>
                <w:sz w:val="24"/>
                <w:szCs w:val="24"/>
                <w:lang w:val="uk-UA"/>
              </w:rPr>
              <w:t xml:space="preserve"> з сучасними реконструктивними методами закриття дефектів після видалення пухлин шкіри (локальні клапті, шкірні трансплантати, комбіновані реконструкції) з урахуванням анатомічних зон, функціональних та естетичних результатів.</w:t>
            </w:r>
          </w:p>
          <w:p w14:paraId="674D8729" w14:textId="198779B2" w:rsidR="00CF6FFA" w:rsidRDefault="00F85D6E" w:rsidP="00970A7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CF6FFA">
              <w:rPr>
                <w:rFonts w:eastAsiaTheme="minorHAnsi"/>
                <w:sz w:val="24"/>
                <w:szCs w:val="24"/>
                <w:lang w:val="uk-UA"/>
              </w:rPr>
              <w:t>Розшир</w:t>
            </w:r>
            <w:r w:rsidR="00970A74">
              <w:rPr>
                <w:rFonts w:eastAsiaTheme="minorHAnsi"/>
                <w:sz w:val="24"/>
                <w:szCs w:val="24"/>
                <w:lang w:val="uk-UA"/>
              </w:rPr>
              <w:t>ити</w:t>
            </w:r>
            <w:r w:rsidRPr="00CF6FFA">
              <w:rPr>
                <w:rFonts w:eastAsiaTheme="minorHAnsi"/>
                <w:sz w:val="24"/>
                <w:szCs w:val="24"/>
                <w:lang w:val="uk-UA"/>
              </w:rPr>
              <w:t xml:space="preserve"> клінічн</w:t>
            </w:r>
            <w:r w:rsidR="00970A74">
              <w:rPr>
                <w:rFonts w:eastAsiaTheme="minorHAnsi"/>
                <w:sz w:val="24"/>
                <w:szCs w:val="24"/>
                <w:lang w:val="uk-UA"/>
              </w:rPr>
              <w:t>е</w:t>
            </w:r>
            <w:r w:rsidRPr="00CF6FFA">
              <w:rPr>
                <w:rFonts w:eastAsiaTheme="minorHAnsi"/>
                <w:sz w:val="24"/>
                <w:szCs w:val="24"/>
                <w:lang w:val="uk-UA"/>
              </w:rPr>
              <w:t xml:space="preserve"> мислення щодо індивідуального вибору хірургічної тактики, оптимального поєднання онкологічної радикальності та реконструктивних рішень для досягнення безпечного онкологічного результату і якісної реабілітації пацієнта.</w:t>
            </w:r>
          </w:p>
          <w:p w14:paraId="779BE839" w14:textId="22B40159" w:rsidR="00631440" w:rsidRPr="00970A74" w:rsidRDefault="00F85D6E" w:rsidP="00631440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CF6FFA">
              <w:rPr>
                <w:rFonts w:eastAsiaTheme="minorHAnsi"/>
                <w:sz w:val="24"/>
                <w:szCs w:val="24"/>
                <w:lang w:val="uk-UA"/>
              </w:rPr>
              <w:t>Удоскона</w:t>
            </w:r>
            <w:r w:rsidR="00970A74">
              <w:rPr>
                <w:rFonts w:eastAsiaTheme="minorHAnsi"/>
                <w:sz w:val="24"/>
                <w:szCs w:val="24"/>
                <w:lang w:val="uk-UA"/>
              </w:rPr>
              <w:t>лити</w:t>
            </w:r>
            <w:r w:rsidRPr="00CF6FFA">
              <w:rPr>
                <w:rFonts w:eastAsiaTheme="minorHAnsi"/>
                <w:sz w:val="24"/>
                <w:szCs w:val="24"/>
                <w:lang w:val="uk-UA"/>
              </w:rPr>
              <w:t xml:space="preserve"> практичн</w:t>
            </w:r>
            <w:r w:rsidR="00970A74">
              <w:rPr>
                <w:rFonts w:eastAsiaTheme="minorHAnsi"/>
                <w:sz w:val="24"/>
                <w:szCs w:val="24"/>
                <w:lang w:val="uk-UA"/>
              </w:rPr>
              <w:t xml:space="preserve">і </w:t>
            </w:r>
            <w:r w:rsidRPr="00CF6FFA">
              <w:rPr>
                <w:rFonts w:eastAsiaTheme="minorHAnsi"/>
                <w:sz w:val="24"/>
                <w:szCs w:val="24"/>
                <w:lang w:val="uk-UA"/>
              </w:rPr>
              <w:t>підход</w:t>
            </w:r>
            <w:r w:rsidR="00970A74">
              <w:rPr>
                <w:rFonts w:eastAsiaTheme="minorHAnsi"/>
                <w:sz w:val="24"/>
                <w:szCs w:val="24"/>
                <w:lang w:val="uk-UA"/>
              </w:rPr>
              <w:t>и</w:t>
            </w:r>
            <w:r w:rsidRPr="00CF6FFA">
              <w:rPr>
                <w:rFonts w:eastAsiaTheme="minorHAnsi"/>
                <w:sz w:val="24"/>
                <w:szCs w:val="24"/>
                <w:lang w:val="uk-UA"/>
              </w:rPr>
              <w:t xml:space="preserve"> до планування операцій при </w:t>
            </w:r>
            <w:proofErr w:type="spellStart"/>
            <w:r w:rsidRPr="00CF6FFA">
              <w:rPr>
                <w:rFonts w:eastAsiaTheme="minorHAnsi"/>
                <w:sz w:val="24"/>
                <w:szCs w:val="24"/>
                <w:lang w:val="uk-UA"/>
              </w:rPr>
              <w:t>базальноклітинному</w:t>
            </w:r>
            <w:proofErr w:type="spellEnd"/>
            <w:r w:rsidRPr="00CF6FFA">
              <w:rPr>
                <w:rFonts w:eastAsiaTheme="minorHAnsi"/>
                <w:sz w:val="24"/>
                <w:szCs w:val="24"/>
                <w:lang w:val="uk-UA"/>
              </w:rPr>
              <w:t xml:space="preserve"> раку, </w:t>
            </w:r>
            <w:proofErr w:type="spellStart"/>
            <w:r w:rsidRPr="00CF6FFA">
              <w:rPr>
                <w:rFonts w:eastAsiaTheme="minorHAnsi"/>
                <w:sz w:val="24"/>
                <w:szCs w:val="24"/>
                <w:lang w:val="uk-UA"/>
              </w:rPr>
              <w:t>плоскоклітинному</w:t>
            </w:r>
            <w:proofErr w:type="spellEnd"/>
            <w:r w:rsidRPr="00CF6FFA">
              <w:rPr>
                <w:rFonts w:eastAsiaTheme="minorHAnsi"/>
                <w:sz w:val="24"/>
                <w:szCs w:val="24"/>
                <w:lang w:val="uk-UA"/>
              </w:rPr>
              <w:t xml:space="preserve"> раку та меланомі шкіри з урахуванням сучасних клінічних рекомендацій</w:t>
            </w:r>
            <w:r w:rsidR="00970A74">
              <w:rPr>
                <w:rFonts w:eastAsiaTheme="minorHAnsi"/>
                <w:sz w:val="24"/>
                <w:szCs w:val="24"/>
                <w:lang w:val="uk-UA"/>
              </w:rPr>
              <w:t>.</w:t>
            </w:r>
          </w:p>
        </w:tc>
      </w:tr>
      <w:tr w:rsidR="00CE1075" w:rsidRPr="00D50FB4" w14:paraId="6EF8E96E" w14:textId="77777777" w:rsidTr="00631440">
        <w:tc>
          <w:tcPr>
            <w:tcW w:w="3964" w:type="dxa"/>
          </w:tcPr>
          <w:p w14:paraId="3FB46BE1" w14:textId="0A0010D9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6618260C" w14:textId="77777777" w:rsidR="00970A74" w:rsidRPr="00970A74" w:rsidRDefault="00F85D6E" w:rsidP="00970A74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970A74">
              <w:rPr>
                <w:rFonts w:eastAsiaTheme="minorHAnsi"/>
                <w:sz w:val="24"/>
                <w:szCs w:val="24"/>
                <w:lang w:val="uk-UA"/>
              </w:rPr>
              <w:t>Лекційне подання матеріалу з використанням клінічних прикладів та ілюстративних матеріалів.</w:t>
            </w:r>
          </w:p>
          <w:p w14:paraId="1F93F639" w14:textId="77777777" w:rsidR="00970A74" w:rsidRPr="00970A74" w:rsidRDefault="00F85D6E" w:rsidP="00970A74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970A74">
              <w:rPr>
                <w:rFonts w:eastAsiaTheme="minorHAnsi"/>
                <w:sz w:val="24"/>
                <w:szCs w:val="24"/>
                <w:lang w:val="uk-UA"/>
              </w:rPr>
              <w:t xml:space="preserve">Обговорення клінічних випадків у форматі професійної дискусії для аналізу </w:t>
            </w:r>
            <w:r w:rsidRPr="00970A74">
              <w:rPr>
                <w:rFonts w:eastAsiaTheme="minorHAnsi"/>
                <w:sz w:val="24"/>
                <w:szCs w:val="24"/>
                <w:lang w:val="uk-UA"/>
              </w:rPr>
              <w:lastRenderedPageBreak/>
              <w:t>тактики хірургічного лікування та вибору реконструктивних методів.</w:t>
            </w:r>
          </w:p>
          <w:p w14:paraId="079B6185" w14:textId="0A599F09" w:rsidR="00A4591E" w:rsidRPr="00970A74" w:rsidRDefault="00F85D6E" w:rsidP="00970A74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970A74">
              <w:rPr>
                <w:rFonts w:eastAsiaTheme="minorHAnsi"/>
                <w:sz w:val="24"/>
                <w:szCs w:val="24"/>
                <w:lang w:val="ru-RU"/>
              </w:rPr>
              <w:t xml:space="preserve">Контроль </w:t>
            </w:r>
            <w:proofErr w:type="spellStart"/>
            <w:r w:rsidRPr="00970A74">
              <w:rPr>
                <w:rFonts w:eastAsiaTheme="minorHAnsi"/>
                <w:sz w:val="24"/>
                <w:szCs w:val="24"/>
                <w:lang w:val="ru-RU"/>
              </w:rPr>
              <w:t>засвоєння</w:t>
            </w:r>
            <w:proofErr w:type="spellEnd"/>
            <w:r w:rsidRPr="00970A7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0A74">
              <w:rPr>
                <w:rFonts w:eastAsiaTheme="minorHAnsi"/>
                <w:sz w:val="24"/>
                <w:szCs w:val="24"/>
                <w:lang w:val="ru-RU"/>
              </w:rPr>
              <w:t>матеріалу</w:t>
            </w:r>
            <w:proofErr w:type="spellEnd"/>
            <w:r w:rsidRPr="00970A74">
              <w:rPr>
                <w:rFonts w:eastAsiaTheme="minorHAnsi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70A74">
              <w:rPr>
                <w:rFonts w:eastAsiaTheme="minorHAnsi"/>
                <w:sz w:val="24"/>
                <w:szCs w:val="24"/>
                <w:lang w:val="ru-RU"/>
              </w:rPr>
              <w:t>допомогою</w:t>
            </w:r>
            <w:proofErr w:type="spellEnd"/>
            <w:r w:rsidRPr="00970A7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0A74">
              <w:rPr>
                <w:rFonts w:eastAsiaTheme="minorHAnsi"/>
                <w:sz w:val="24"/>
                <w:szCs w:val="24"/>
                <w:lang w:val="ru-RU"/>
              </w:rPr>
              <w:t>тестових</w:t>
            </w:r>
            <w:proofErr w:type="spellEnd"/>
            <w:r w:rsidRPr="00970A7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0A74">
              <w:rPr>
                <w:rFonts w:eastAsiaTheme="minorHAnsi"/>
                <w:sz w:val="24"/>
                <w:szCs w:val="24"/>
                <w:lang w:val="ru-RU"/>
              </w:rPr>
              <w:t>завдань</w:t>
            </w:r>
            <w:proofErr w:type="spellEnd"/>
            <w:r w:rsidRPr="00970A74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</w:tc>
      </w:tr>
      <w:tr w:rsidR="00CE1075" w:rsidRPr="00AA38B3" w14:paraId="22A16D2F" w14:textId="77777777" w:rsidTr="00631440">
        <w:tc>
          <w:tcPr>
            <w:tcW w:w="3964" w:type="dxa"/>
          </w:tcPr>
          <w:p w14:paraId="576BA225" w14:textId="093C3326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lastRenderedPageBreak/>
              <w:t>Кількість балів БПР</w:t>
            </w:r>
          </w:p>
        </w:tc>
        <w:tc>
          <w:tcPr>
            <w:tcW w:w="4675" w:type="dxa"/>
          </w:tcPr>
          <w:p w14:paraId="573836F6" w14:textId="3788B25C" w:rsidR="00CE1075" w:rsidRPr="00970A74" w:rsidRDefault="00F5588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0A74">
              <w:rPr>
                <w:b/>
                <w:bCs/>
                <w:sz w:val="24"/>
                <w:szCs w:val="24"/>
              </w:rPr>
              <w:t>5</w:t>
            </w:r>
            <w:r w:rsidR="00970A74" w:rsidRPr="00970A74">
              <w:rPr>
                <w:b/>
                <w:bCs/>
                <w:sz w:val="24"/>
                <w:szCs w:val="24"/>
                <w:lang w:val="uk-UA"/>
              </w:rPr>
              <w:t xml:space="preserve"> балів</w:t>
            </w:r>
          </w:p>
        </w:tc>
      </w:tr>
      <w:tr w:rsidR="00CE1075" w:rsidRPr="00AA38B3" w14:paraId="46246522" w14:textId="77777777" w:rsidTr="00631440">
        <w:tc>
          <w:tcPr>
            <w:tcW w:w="3964" w:type="dxa"/>
          </w:tcPr>
          <w:p w14:paraId="63F88E85" w14:textId="6905EAF7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71A741FC" w:rsidR="00CE1075" w:rsidRPr="00B72F75" w:rsidRDefault="00B72F75" w:rsidP="00D50FB4">
            <w:pPr>
              <w:jc w:val="center"/>
              <w:rPr>
                <w:b/>
                <w:bCs/>
                <w:sz w:val="24"/>
                <w:szCs w:val="24"/>
              </w:rPr>
            </w:pPr>
            <w:r w:rsidRPr="001E680E">
              <w:rPr>
                <w:b/>
                <w:bCs/>
                <w:sz w:val="24"/>
                <w:szCs w:val="24"/>
                <w:highlight w:val="yellow"/>
              </w:rPr>
              <w:t>01.0</w:t>
            </w:r>
            <w:r w:rsidR="00D50FB4">
              <w:rPr>
                <w:b/>
                <w:bCs/>
                <w:sz w:val="24"/>
                <w:szCs w:val="24"/>
                <w:highlight w:val="yellow"/>
                <w:lang w:val="uk-UA"/>
              </w:rPr>
              <w:t>7</w:t>
            </w:r>
            <w:bookmarkStart w:id="0" w:name="_GoBack"/>
            <w:bookmarkEnd w:id="0"/>
            <w:r w:rsidRPr="001E680E">
              <w:rPr>
                <w:b/>
                <w:bCs/>
                <w:sz w:val="24"/>
                <w:szCs w:val="24"/>
                <w:highlight w:val="yellow"/>
              </w:rPr>
              <w:t>.2026</w:t>
            </w:r>
          </w:p>
        </w:tc>
      </w:tr>
      <w:tr w:rsidR="00CE1075" w:rsidRPr="00D50FB4" w14:paraId="2F57CE8B" w14:textId="77777777" w:rsidTr="00631440">
        <w:tc>
          <w:tcPr>
            <w:tcW w:w="3964" w:type="dxa"/>
          </w:tcPr>
          <w:p w14:paraId="53F25210" w14:textId="518DBAFF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36767AF4" w14:textId="77777777" w:rsidR="00CE1075" w:rsidRPr="00AA38B3" w:rsidRDefault="0035081A" w:rsidP="00CE1075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AA38B3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 xml:space="preserve">Онлайн в </w:t>
            </w:r>
            <w:proofErr w:type="gramStart"/>
            <w:r w:rsidRPr="00AA38B3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реальному</w:t>
            </w:r>
            <w:proofErr w:type="gramEnd"/>
            <w:r w:rsidRPr="00AA38B3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часі</w:t>
            </w:r>
            <w:proofErr w:type="spellEnd"/>
            <w:r w:rsidRPr="00AA38B3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1242FFB0" w14:textId="4C4B606A" w:rsidR="0035081A" w:rsidRPr="00F55882" w:rsidRDefault="00B72F75" w:rsidP="00F55882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т</w:t>
            </w:r>
            <w:r w:rsidR="00F85D6E" w:rsidRPr="00AA38B3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 xml:space="preserve">а </w:t>
            </w:r>
            <w:proofErr w:type="spellStart"/>
            <w:r w:rsidR="00F85D6E" w:rsidRPr="00AA38B3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запис</w:t>
            </w:r>
            <w:proofErr w:type="spellEnd"/>
            <w:r w:rsidR="00F85D6E" w:rsidRPr="00AA38B3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5D6E" w:rsidRPr="00AA38B3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лекц</w:t>
            </w:r>
            <w:r w:rsidR="00F85D6E" w:rsidRPr="00AA38B3">
              <w:rPr>
                <w:rFonts w:eastAsiaTheme="minorHAnsi"/>
                <w:color w:val="000000" w:themeColor="text1"/>
                <w:sz w:val="24"/>
                <w:szCs w:val="24"/>
                <w:lang w:val="uk-UA"/>
              </w:rPr>
              <w:t>ії</w:t>
            </w:r>
            <w:proofErr w:type="spellEnd"/>
          </w:p>
        </w:tc>
      </w:tr>
      <w:tr w:rsidR="00CE1075" w:rsidRPr="00AA38B3" w14:paraId="1231D504" w14:textId="77777777" w:rsidTr="00631440">
        <w:tc>
          <w:tcPr>
            <w:tcW w:w="3964" w:type="dxa"/>
          </w:tcPr>
          <w:p w14:paraId="40C17CF6" w14:textId="454BAADE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9E3C60D" w14:textId="50E857AF" w:rsidR="00CE1075" w:rsidRPr="00AA38B3" w:rsidRDefault="0035081A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b/>
                <w:bCs/>
                <w:sz w:val="24"/>
                <w:szCs w:val="24"/>
                <w:lang w:val="uk-UA"/>
              </w:rPr>
              <w:t xml:space="preserve">Борисенко Анастасія Сергіївна </w:t>
            </w:r>
          </w:p>
        </w:tc>
      </w:tr>
      <w:tr w:rsidR="00CE1075" w:rsidRPr="00D50FB4" w14:paraId="6D49AE4A" w14:textId="77777777" w:rsidTr="00631440">
        <w:tc>
          <w:tcPr>
            <w:tcW w:w="3964" w:type="dxa"/>
          </w:tcPr>
          <w:p w14:paraId="1BD0F7FE" w14:textId="7F51E4F2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37A9516B" w14:textId="29706D33" w:rsidR="006B13E4" w:rsidRDefault="00C51CAF" w:rsidP="00631440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fldChar w:fldCharType="begin"/>
            </w:r>
            <w:r w:rsidRPr="00D50FB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50FB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50FB4">
              <w:rPr>
                <w:lang w:val="uk-UA"/>
              </w:rPr>
              <w:instrText>://</w:instrText>
            </w:r>
            <w:r>
              <w:instrText>radiologycenter</w:instrText>
            </w:r>
            <w:r w:rsidRPr="00D50FB4">
              <w:rPr>
                <w:lang w:val="uk-UA"/>
              </w:rPr>
              <w:instrText>.</w:instrText>
            </w:r>
            <w:r>
              <w:instrText>eu</w:instrText>
            </w:r>
            <w:r w:rsidRPr="00D50FB4">
              <w:rPr>
                <w:lang w:val="uk-UA"/>
              </w:rPr>
              <w:instrText>/</w:instrText>
            </w:r>
            <w:r>
              <w:instrText>doctors</w:instrText>
            </w:r>
            <w:r w:rsidRPr="00D50FB4">
              <w:rPr>
                <w:lang w:val="uk-UA"/>
              </w:rPr>
              <w:instrText>/</w:instrText>
            </w:r>
            <w:r>
              <w:instrText>borisenko</w:instrText>
            </w:r>
            <w:r w:rsidRPr="00D50FB4">
              <w:rPr>
                <w:lang w:val="uk-UA"/>
              </w:rPr>
              <w:instrText>-</w:instrText>
            </w:r>
            <w:r>
              <w:instrText>anastasiya</w:instrText>
            </w:r>
            <w:r w:rsidRPr="00D50FB4">
              <w:rPr>
                <w:lang w:val="uk-UA"/>
              </w:rPr>
              <w:instrText>-</w:instrText>
            </w:r>
            <w:r>
              <w:instrText>sergiyivna</w:instrText>
            </w:r>
            <w:r w:rsidRPr="00D50FB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B13E4" w:rsidRPr="005B02BA">
              <w:rPr>
                <w:rStyle w:val="ab"/>
                <w:b/>
                <w:bCs/>
                <w:sz w:val="24"/>
                <w:szCs w:val="24"/>
                <w:lang w:val="uk-UA"/>
              </w:rPr>
              <w:t>https://radiologycenter.eu/doctors/borisenko-anastasiya-sergiyivna</w:t>
            </w:r>
            <w:r>
              <w:rPr>
                <w:rStyle w:val="ab"/>
                <w:b/>
                <w:bCs/>
                <w:sz w:val="24"/>
                <w:szCs w:val="24"/>
                <w:lang w:val="uk-UA"/>
              </w:rPr>
              <w:fldChar w:fldCharType="end"/>
            </w:r>
          </w:p>
          <w:p w14:paraId="6AF4E75A" w14:textId="77777777" w:rsidR="006B13E4" w:rsidRDefault="006B13E4" w:rsidP="00631440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2C28EA47" w14:textId="6A10E8AC" w:rsidR="0039599D" w:rsidRPr="00AA38B3" w:rsidRDefault="0035081A" w:rsidP="00631440">
            <w:pPr>
              <w:jc w:val="both"/>
              <w:rPr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631440">
              <w:rPr>
                <w:b/>
                <w:bCs/>
                <w:sz w:val="24"/>
                <w:szCs w:val="24"/>
                <w:lang w:val="uk-UA"/>
              </w:rPr>
              <w:t>Борисенко Анастасія Сергіївна – ліка</w:t>
            </w:r>
            <w:r w:rsidR="0039599D" w:rsidRPr="00631440">
              <w:rPr>
                <w:b/>
                <w:bCs/>
                <w:sz w:val="24"/>
                <w:szCs w:val="24"/>
                <w:lang w:val="uk-UA"/>
              </w:rPr>
              <w:t>р</w:t>
            </w:r>
            <w:r w:rsidRPr="00631440">
              <w:rPr>
                <w:b/>
                <w:bCs/>
                <w:sz w:val="24"/>
                <w:szCs w:val="24"/>
                <w:lang w:val="uk-UA"/>
              </w:rPr>
              <w:t>-х</w:t>
            </w:r>
            <w:r w:rsidR="00F55882" w:rsidRPr="00631440">
              <w:rPr>
                <w:b/>
                <w:bCs/>
                <w:sz w:val="24"/>
                <w:szCs w:val="24"/>
                <w:lang w:val="uk-UA"/>
              </w:rPr>
              <w:t>ір</w:t>
            </w:r>
            <w:r w:rsidRPr="00631440">
              <w:rPr>
                <w:b/>
                <w:bCs/>
                <w:sz w:val="24"/>
                <w:szCs w:val="24"/>
                <w:lang w:val="uk-UA"/>
              </w:rPr>
              <w:t xml:space="preserve">ург, </w:t>
            </w:r>
            <w:proofErr w:type="spell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пластичний</w:t>
            </w:r>
            <w:proofErr w:type="spell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реконструктивний</w:t>
            </w:r>
            <w:proofErr w:type="spell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хірург</w:t>
            </w:r>
            <w:proofErr w:type="spell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Спец</w:t>
            </w:r>
            <w:proofErr w:type="gram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іалізується</w:t>
            </w:r>
            <w:proofErr w:type="spell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хірургічному</w:t>
            </w:r>
            <w:proofErr w:type="spell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лікуванні</w:t>
            </w:r>
            <w:proofErr w:type="spell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злоякісних</w:t>
            </w:r>
            <w:proofErr w:type="spell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новоутворень</w:t>
            </w:r>
            <w:proofErr w:type="spell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шкіри</w:t>
            </w:r>
            <w:proofErr w:type="spell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м’яких</w:t>
            </w:r>
            <w:proofErr w:type="spell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 xml:space="preserve"> тканин та </w:t>
            </w:r>
            <w:proofErr w:type="spell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молочної</w:t>
            </w:r>
            <w:proofErr w:type="spell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залози</w:t>
            </w:r>
            <w:proofErr w:type="spell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також</w:t>
            </w:r>
            <w:proofErr w:type="spellEnd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9599D" w:rsidRPr="00631440">
              <w:rPr>
                <w:rFonts w:eastAsiaTheme="minorHAnsi"/>
                <w:sz w:val="24"/>
                <w:szCs w:val="24"/>
                <w:lang w:val="ru-RU"/>
              </w:rPr>
              <w:t>реконструктивній</w:t>
            </w:r>
            <w:proofErr w:type="spellEnd"/>
            <w:r w:rsidR="0039599D" w:rsidRPr="00AA38B3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39599D" w:rsidRPr="00AA38B3">
              <w:rPr>
                <w:rFonts w:eastAsiaTheme="minorHAnsi"/>
                <w:sz w:val="24"/>
                <w:szCs w:val="24"/>
                <w:lang w:val="ru-RU"/>
              </w:rPr>
              <w:t>естетичній</w:t>
            </w:r>
            <w:proofErr w:type="spellEnd"/>
            <w:r w:rsidR="0039599D"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9599D" w:rsidRPr="00AA38B3">
              <w:rPr>
                <w:rFonts w:eastAsiaTheme="minorHAnsi"/>
                <w:sz w:val="24"/>
                <w:szCs w:val="24"/>
                <w:lang w:val="ru-RU"/>
              </w:rPr>
              <w:t>хірургії</w:t>
            </w:r>
            <w:proofErr w:type="spellEnd"/>
            <w:r w:rsidR="0039599D" w:rsidRPr="00AA38B3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14:paraId="38B07EF5" w14:textId="77777777" w:rsidR="0039599D" w:rsidRPr="00AA38B3" w:rsidRDefault="0039599D" w:rsidP="0039599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</w:p>
          <w:p w14:paraId="66035CAF" w14:textId="77777777" w:rsidR="0039599D" w:rsidRPr="00AA38B3" w:rsidRDefault="0039599D" w:rsidP="006314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У </w:t>
            </w:r>
            <w:proofErr w:type="spellStart"/>
            <w:proofErr w:type="gram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своїй</w:t>
            </w:r>
            <w:proofErr w:type="spellEnd"/>
            <w:proofErr w:type="gram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практиці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застосовує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сучасні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онкологічні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принципи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радикального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видалення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пухлин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із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одночасним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виконанням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реконструктивних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втручань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відновлення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функціональних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естетичних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результатів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Має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досвід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виконання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складних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реконструкцій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із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використанням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локальних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клаптів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шкірних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трансплантатів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14:paraId="2A07A40E" w14:textId="77777777" w:rsidR="0039599D" w:rsidRPr="00AA38B3" w:rsidRDefault="0039599D" w:rsidP="006314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  <w:p w14:paraId="3AC68784" w14:textId="022D77F2" w:rsidR="0035081A" w:rsidRPr="00AA38B3" w:rsidRDefault="0039599D" w:rsidP="00631440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Активно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займається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клінічною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практикою,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впроваджує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сучасні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міжнародні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рекомендації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лікуванні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онкологічних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захворювань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шкіри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бере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участь у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професійних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освітніх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заходах</w:t>
            </w:r>
            <w:proofErr w:type="gram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обміні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клінічним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38B3">
              <w:rPr>
                <w:rFonts w:eastAsiaTheme="minorHAnsi"/>
                <w:sz w:val="24"/>
                <w:szCs w:val="24"/>
                <w:lang w:val="ru-RU"/>
              </w:rPr>
              <w:t>досвідом</w:t>
            </w:r>
            <w:proofErr w:type="spellEnd"/>
            <w:r w:rsidRPr="00AA38B3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</w:tc>
      </w:tr>
      <w:tr w:rsidR="00CE1075" w:rsidRPr="00AA38B3" w14:paraId="5105DB79" w14:textId="77777777" w:rsidTr="00631440">
        <w:tc>
          <w:tcPr>
            <w:tcW w:w="3964" w:type="dxa"/>
          </w:tcPr>
          <w:p w14:paraId="38E9375D" w14:textId="6E390C49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p w14:paraId="65FDB496" w14:textId="2EA0CFEB" w:rsidR="00CE1075" w:rsidRPr="00AA38B3" w:rsidRDefault="00A0363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0A74">
              <w:rPr>
                <w:b/>
                <w:bCs/>
                <w:sz w:val="24"/>
                <w:szCs w:val="24"/>
                <w:lang w:val="uk-UA"/>
              </w:rPr>
              <w:t>додається</w:t>
            </w:r>
            <w:r w:rsidRPr="00AA38B3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E1075" w:rsidRPr="00D50FB4" w14:paraId="15249AD2" w14:textId="77777777" w:rsidTr="00631440">
        <w:tc>
          <w:tcPr>
            <w:tcW w:w="3964" w:type="dxa"/>
          </w:tcPr>
          <w:p w14:paraId="582A2C5B" w14:textId="4C939038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630F5DDC" w14:textId="77777777" w:rsidR="00970A74" w:rsidRDefault="00F85D6E" w:rsidP="00970A74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970A74">
              <w:rPr>
                <w:rFonts w:eastAsiaTheme="minorHAnsi"/>
                <w:sz w:val="24"/>
                <w:szCs w:val="24"/>
                <w:lang w:val="uk-UA"/>
              </w:rPr>
              <w:t>Слухачі повинні мати базові знання з клінічної онкології та загальної хірургії, зокрема розуміння принципів діагностики та лікування злоякісних новоутворень шкіри.</w:t>
            </w:r>
          </w:p>
          <w:p w14:paraId="21C1A81C" w14:textId="77777777" w:rsidR="00970A74" w:rsidRDefault="00F85D6E" w:rsidP="00970A74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970A74">
              <w:rPr>
                <w:rFonts w:eastAsiaTheme="minorHAnsi"/>
                <w:sz w:val="24"/>
                <w:szCs w:val="24"/>
                <w:lang w:val="uk-UA"/>
              </w:rPr>
              <w:t xml:space="preserve">Бажаним є володіння основами клінічної </w:t>
            </w:r>
            <w:proofErr w:type="spellStart"/>
            <w:r w:rsidRPr="00970A74">
              <w:rPr>
                <w:rFonts w:eastAsiaTheme="minorHAnsi"/>
                <w:sz w:val="24"/>
                <w:szCs w:val="24"/>
                <w:lang w:val="uk-UA"/>
              </w:rPr>
              <w:t>дерматоонкології</w:t>
            </w:r>
            <w:proofErr w:type="spellEnd"/>
            <w:r w:rsidRPr="00970A74">
              <w:rPr>
                <w:rFonts w:eastAsiaTheme="minorHAnsi"/>
                <w:sz w:val="24"/>
                <w:szCs w:val="24"/>
                <w:lang w:val="uk-UA"/>
              </w:rPr>
              <w:t xml:space="preserve">, знання сучасної класифікації пухлин шкіри, принципів </w:t>
            </w:r>
            <w:proofErr w:type="spellStart"/>
            <w:r w:rsidRPr="00970A74">
              <w:rPr>
                <w:rFonts w:eastAsiaTheme="minorHAnsi"/>
                <w:sz w:val="24"/>
                <w:szCs w:val="24"/>
                <w:lang w:val="uk-UA"/>
              </w:rPr>
              <w:t>стадіювання</w:t>
            </w:r>
            <w:proofErr w:type="spellEnd"/>
            <w:r w:rsidRPr="00970A74">
              <w:rPr>
                <w:rFonts w:eastAsiaTheme="minorHAnsi"/>
                <w:sz w:val="24"/>
                <w:szCs w:val="24"/>
                <w:lang w:val="uk-UA"/>
              </w:rPr>
              <w:t>, морфологічної верифікації та базових підходів до хірургічного лікування.</w:t>
            </w:r>
          </w:p>
          <w:p w14:paraId="64F48F26" w14:textId="1D5AFD16" w:rsidR="00CE1075" w:rsidRPr="00970A74" w:rsidRDefault="00F85D6E" w:rsidP="00970A74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970A74">
              <w:rPr>
                <w:rFonts w:eastAsiaTheme="minorHAnsi"/>
                <w:sz w:val="24"/>
                <w:szCs w:val="24"/>
                <w:lang w:val="uk-UA"/>
              </w:rPr>
              <w:t>Слухачі повинні орієнтуватися у загальних принципах планування оперативних втручань, основах пластичної та реконструктивної хірургії шкіри, а також мати уявлення про сучасні клінічні рекомендації щодо лікування раку шкіри.</w:t>
            </w:r>
          </w:p>
        </w:tc>
      </w:tr>
      <w:tr w:rsidR="00CE1075" w:rsidRPr="00AA38B3" w14:paraId="45FE68CE" w14:textId="77777777" w:rsidTr="00631440">
        <w:tc>
          <w:tcPr>
            <w:tcW w:w="3964" w:type="dxa"/>
          </w:tcPr>
          <w:p w14:paraId="04B476DE" w14:textId="2CB7AE62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AA38B3">
              <w:rPr>
                <w:i/>
                <w:iCs/>
                <w:sz w:val="24"/>
                <w:szCs w:val="24"/>
                <w:lang w:val="uk-UA"/>
              </w:rPr>
              <w:t xml:space="preserve">У </w:t>
            </w:r>
            <w:r w:rsidRPr="00AA38B3">
              <w:rPr>
                <w:i/>
                <w:iCs/>
                <w:sz w:val="24"/>
                <w:szCs w:val="24"/>
                <w:lang w:val="uk-UA"/>
              </w:rPr>
              <w:lastRenderedPageBreak/>
              <w:t>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14:paraId="1A40E0D7" w14:textId="25BB0FE3" w:rsidR="00CE1075" w:rsidRPr="00AA38B3" w:rsidRDefault="00A03634" w:rsidP="0063144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1440">
              <w:rPr>
                <w:b/>
                <w:bCs/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CE1075" w:rsidRPr="00AA38B3" w14:paraId="42949AA7" w14:textId="77777777" w:rsidTr="00631440">
        <w:tc>
          <w:tcPr>
            <w:tcW w:w="3964" w:type="dxa"/>
          </w:tcPr>
          <w:p w14:paraId="30050366" w14:textId="76F7D775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14:paraId="4B6025BD" w14:textId="7A04342E" w:rsidR="00CE1075" w:rsidRPr="00077CCC" w:rsidRDefault="00A03634" w:rsidP="00A0363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77CCC">
              <w:rPr>
                <w:rFonts w:eastAsiaTheme="minorHAnsi"/>
                <w:sz w:val="24"/>
                <w:szCs w:val="24"/>
                <w:lang w:val="ru-RU"/>
              </w:rPr>
              <w:t>Тестування</w:t>
            </w:r>
            <w:proofErr w:type="spellEnd"/>
            <w:r w:rsidRPr="00077CCC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</w:tc>
      </w:tr>
      <w:tr w:rsidR="004B1191" w:rsidRPr="00D50FB4" w14:paraId="1E5F6364" w14:textId="77777777" w:rsidTr="00631440">
        <w:tc>
          <w:tcPr>
            <w:tcW w:w="3964" w:type="dxa"/>
          </w:tcPr>
          <w:p w14:paraId="486698A8" w14:textId="52AB07FD" w:rsidR="004B1191" w:rsidRPr="00AA38B3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Код заходу БПР (</w:t>
            </w:r>
            <w:r w:rsidR="00C25150" w:rsidRPr="00AA38B3">
              <w:rPr>
                <w:i/>
                <w:iCs/>
                <w:sz w:val="24"/>
                <w:szCs w:val="24"/>
                <w:lang w:val="uk-UA"/>
              </w:rPr>
              <w:t>Реєстраційний номер заходу БПР</w:t>
            </w:r>
            <w:r w:rsidRPr="00AA38B3">
              <w:rPr>
                <w:i/>
                <w:iCs/>
                <w:sz w:val="24"/>
                <w:szCs w:val="24"/>
                <w:lang w:val="uk-UA"/>
              </w:rPr>
              <w:t xml:space="preserve"> вноситься після присвоєння Адміністратором</w:t>
            </w:r>
            <w:r w:rsidRPr="00AA38B3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28D59D81" w:rsidR="004B1191" w:rsidRPr="00077CCC" w:rsidRDefault="004B119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FD902DA" w14:textId="0FA9E939" w:rsidR="00EB66CA" w:rsidRPr="00AA38B3" w:rsidRDefault="00EB66CA" w:rsidP="00C7296D">
      <w:pPr>
        <w:pStyle w:val="a3"/>
        <w:ind w:left="0"/>
        <w:rPr>
          <w:sz w:val="24"/>
          <w:szCs w:val="24"/>
          <w:lang w:val="uk-UA"/>
        </w:rPr>
      </w:pPr>
    </w:p>
    <w:sectPr w:rsidR="00EB66CA" w:rsidRPr="00AA38B3" w:rsidSect="0042169A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D44E3" w14:textId="77777777" w:rsidR="00C51CAF" w:rsidRDefault="00C51CAF">
      <w:r>
        <w:separator/>
      </w:r>
    </w:p>
  </w:endnote>
  <w:endnote w:type="continuationSeparator" w:id="0">
    <w:p w14:paraId="60550F84" w14:textId="77777777" w:rsidR="00C51CAF" w:rsidRDefault="00C5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77777777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FB4" w:rsidRPr="00D50FB4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C51CAF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1A03F" w14:textId="77777777" w:rsidR="00C51CAF" w:rsidRDefault="00C51CAF">
      <w:r>
        <w:separator/>
      </w:r>
    </w:p>
  </w:footnote>
  <w:footnote w:type="continuationSeparator" w:id="0">
    <w:p w14:paraId="0987F0EB" w14:textId="77777777" w:rsidR="00C51CAF" w:rsidRDefault="00C5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2688A"/>
    <w:multiLevelType w:val="hybridMultilevel"/>
    <w:tmpl w:val="A110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51D62"/>
    <w:multiLevelType w:val="hybridMultilevel"/>
    <w:tmpl w:val="B826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83DCF"/>
    <w:multiLevelType w:val="hybridMultilevel"/>
    <w:tmpl w:val="685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C8"/>
    <w:rsid w:val="00077CCC"/>
    <w:rsid w:val="000F602E"/>
    <w:rsid w:val="001D3118"/>
    <w:rsid w:val="001E680E"/>
    <w:rsid w:val="002169C8"/>
    <w:rsid w:val="0029445F"/>
    <w:rsid w:val="0035081A"/>
    <w:rsid w:val="0039599D"/>
    <w:rsid w:val="004B1191"/>
    <w:rsid w:val="004C320B"/>
    <w:rsid w:val="004F2549"/>
    <w:rsid w:val="005139DB"/>
    <w:rsid w:val="00556EC8"/>
    <w:rsid w:val="00564D84"/>
    <w:rsid w:val="00595533"/>
    <w:rsid w:val="00631440"/>
    <w:rsid w:val="006B13E4"/>
    <w:rsid w:val="0079789F"/>
    <w:rsid w:val="007B20C6"/>
    <w:rsid w:val="008A55E9"/>
    <w:rsid w:val="00942FEE"/>
    <w:rsid w:val="00970A74"/>
    <w:rsid w:val="00A03634"/>
    <w:rsid w:val="00A4355B"/>
    <w:rsid w:val="00A4591E"/>
    <w:rsid w:val="00AA38B3"/>
    <w:rsid w:val="00AB57FE"/>
    <w:rsid w:val="00B11BBA"/>
    <w:rsid w:val="00B11CB8"/>
    <w:rsid w:val="00B72F75"/>
    <w:rsid w:val="00C25150"/>
    <w:rsid w:val="00C51CAF"/>
    <w:rsid w:val="00C7296D"/>
    <w:rsid w:val="00CE1075"/>
    <w:rsid w:val="00CF6FFA"/>
    <w:rsid w:val="00D16BE6"/>
    <w:rsid w:val="00D43DDE"/>
    <w:rsid w:val="00D50FB4"/>
    <w:rsid w:val="00E53CB6"/>
    <w:rsid w:val="00EB66CA"/>
    <w:rsid w:val="00F55882"/>
    <w:rsid w:val="00F85D6E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A38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38B3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uiPriority w:val="1"/>
    <w:qFormat/>
    <w:rsid w:val="00F55882"/>
    <w:pPr>
      <w:ind w:left="107"/>
    </w:pPr>
    <w:rPr>
      <w:lang w:val="uk-UA"/>
    </w:rPr>
  </w:style>
  <w:style w:type="character" w:customStyle="1" w:styleId="Bold">
    <w:name w:val="Bold"/>
    <w:uiPriority w:val="99"/>
    <w:rsid w:val="008A55E9"/>
    <w:rPr>
      <w:b/>
      <w:u w:val="none"/>
      <w:vertAlign w:val="baseline"/>
    </w:rPr>
  </w:style>
  <w:style w:type="character" w:styleId="ab">
    <w:name w:val="Hyperlink"/>
    <w:basedOn w:val="a0"/>
    <w:uiPriority w:val="99"/>
    <w:unhideWhenUsed/>
    <w:rsid w:val="006B13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A38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38B3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uiPriority w:val="1"/>
    <w:qFormat/>
    <w:rsid w:val="00F55882"/>
    <w:pPr>
      <w:ind w:left="107"/>
    </w:pPr>
    <w:rPr>
      <w:lang w:val="uk-UA"/>
    </w:rPr>
  </w:style>
  <w:style w:type="character" w:customStyle="1" w:styleId="Bold">
    <w:name w:val="Bold"/>
    <w:uiPriority w:val="99"/>
    <w:rsid w:val="008A55E9"/>
    <w:rPr>
      <w:b/>
      <w:u w:val="none"/>
      <w:vertAlign w:val="baseline"/>
    </w:rPr>
  </w:style>
  <w:style w:type="character" w:styleId="ab">
    <w:name w:val="Hyperlink"/>
    <w:basedOn w:val="a0"/>
    <w:uiPriority w:val="99"/>
    <w:unhideWhenUsed/>
    <w:rsid w:val="006B1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Liubov</cp:lastModifiedBy>
  <cp:revision>32</cp:revision>
  <cp:lastPrinted>2026-03-11T10:49:00Z</cp:lastPrinted>
  <dcterms:created xsi:type="dcterms:W3CDTF">2022-06-09T07:58:00Z</dcterms:created>
  <dcterms:modified xsi:type="dcterms:W3CDTF">2026-05-19T09:15:00Z</dcterms:modified>
</cp:coreProperties>
</file>